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8F611" w14:textId="1EE9435A" w:rsidR="00DB719E" w:rsidRPr="008F0020" w:rsidRDefault="00906AA9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F002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Лекция 7. П</w:t>
      </w:r>
      <w:r w:rsidRPr="008F002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ересечения городских улиц и дорог. Обеспечение видимости. Понятие треугольника видимости. Размещение пешеходных переходов. Конструкции пешеходных переходов. Пересечение в разных уровнях.</w:t>
      </w:r>
    </w:p>
    <w:p w14:paraId="3E70B22C" w14:textId="2F369085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ПРОЕКТИРОВАНИЕ ПЕРЕКРЕСТКОВ И ГОРОДСКИХ ПЛОЩАДЕЙ</w:t>
      </w:r>
    </w:p>
    <w:p w14:paraId="0470129C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Перекрестки городских улиц можно проектировать по различным схемам (рис. XXXVI.9). Схему перекрестка выбирают с учетом перспективных размеров и характера движения и, конечно, в зависимости от плана уличной сети.</w:t>
      </w:r>
    </w:p>
    <w:p w14:paraId="5A86AF3B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 перекрестках улиц движение транспортных средств и пешеходов осложняется, что требует мероприятий, обеспечивающих безопасность и удобство движения. Для повышения безопасности пересечения в районах новой застройки следует проектировать с необходимым расстоянием видимости, подобно тому, как это делается на загородных дорогах. Однако весьма часто существующая застройка не позволяет этого, поэтому на всех перекрестках с оживленным движением обычно устраивают светофоры.</w:t>
      </w:r>
    </w:p>
    <w:p w14:paraId="7BFD4BFD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Пересечения улиц с железными дорогами в одном уровне проектируют на горизонтальной площадке, которая должна заходить в обе стороны на расстояние не менее чем на 10 м от крайнего рельса пути.</w:t>
      </w:r>
    </w:p>
    <w:p w14:paraId="3F5915C8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Вертикальная планировка перекрестков зависит от значения и категорий пересекающихся улиц н направления продольных уклонов. Отметки оси проезжей части пересекаемой улицы могут сопрягаться или с отметками оси пересекающей улицы, или с отметками лотков пересекающей улицы.</w:t>
      </w:r>
    </w:p>
    <w:p w14:paraId="57A570A6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 магистральных улицах нельзя устраивать поперечные лотки. В некоторых случаях можно проектировать односкатный поперечный профиль на перекрестке (рис. XXXVI. 10).</w:t>
      </w:r>
    </w:p>
    <w:p w14:paraId="00DF65BA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54E46BF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Arial" w:eastAsia="Times New Roman" w:hAnsi="Arial" w:cs="Times New Roman"/>
          <w:color w:val="000000"/>
          <w:spacing w:val="6"/>
          <w:sz w:val="13"/>
          <w:szCs w:val="20"/>
          <w:lang w:val="ru-RU" w:eastAsia="ru-RU"/>
        </w:rPr>
      </w:pPr>
      <w:r w:rsidRPr="00FE29DA">
        <w:rPr>
          <w:rFonts w:ascii="Arial" w:eastAsia="Times New Roman" w:hAnsi="Arial" w:cs="Times New Roman"/>
          <w:noProof/>
          <w:color w:val="000000"/>
          <w:spacing w:val="6"/>
          <w:sz w:val="13"/>
          <w:szCs w:val="20"/>
          <w:lang w:val="ru-RU" w:eastAsia="ru-RU"/>
        </w:rPr>
        <w:drawing>
          <wp:inline distT="0" distB="0" distL="0" distR="0" wp14:anchorId="65048A28" wp14:editId="7A3508C1">
            <wp:extent cx="5131435" cy="817880"/>
            <wp:effectExtent l="19050" t="0" r="0" b="0"/>
            <wp:docPr id="20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9021" t="47826" r="29028" b="397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1435" cy="817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6FCCD60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60" w:line="276" w:lineRule="auto"/>
        <w:jc w:val="center"/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 w:eastAsia="ru-RU"/>
        </w:rPr>
        <w:t>Рис. ХХХVI.9. Схемы перекрестков (пересечений);</w:t>
      </w:r>
    </w:p>
    <w:p w14:paraId="5B5FC5DC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 w:eastAsia="ru-RU"/>
        </w:rPr>
        <w:t>а – под прямым углом, б – под косым углом, в – I образное примыкания, г – У образное примыкание, д – смешанное, в – вилообразное, ж – сложное</w:t>
      </w:r>
    </w:p>
    <w:p w14:paraId="04367366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7F5C7CD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движения пешеходов на перекрестках предусматривают переходы, выделенные на покрытии маркировочными знаками (металлическими кнопками, окраской или плитками из цветного асфальта). На улицах с оживленным движением для безопасности пешеходов устраивают подземные переходы или островки безопасности (рис. XXXVI.11).</w:t>
      </w:r>
    </w:p>
    <w:p w14:paraId="6AFEE2B4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Классификация площадей в зависимости от их назначения, расположения и характера застройки дана в табл. XXXVI.10.</w:t>
      </w:r>
    </w:p>
    <w:p w14:paraId="4F4C0E6C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Ширину проезжей части и тротуаров на площадях назначают в зависимости от интенсивности и состава движения на примыкающих улицах </w:t>
      </w: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и от принятой организации движения. Схему организации движения транспорта и пешеходов проектируют на плане площади в масштабе 1:500. При этом устанавливают число полос и направление движения автомобилей, троллейбусов, трамваев, автобусов и предусматривают размещение светофоров, стоянок автомобилей и переходов.</w:t>
      </w:r>
    </w:p>
    <w:p w14:paraId="33D228F7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вертикальной планировке площади в зависимости от общего характера рельефа и уклонов примыкающих улиц применяют односкатную, выпуклую, вогнутую или сложную форму, удобную для движения и позволяющую отводить воду.</w:t>
      </w:r>
    </w:p>
    <w:p w14:paraId="207A5C81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13B935D" w14:textId="5D35AA6D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FE29DA"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B63096" wp14:editId="1BE938D3">
                <wp:simplePos x="0" y="0"/>
                <wp:positionH relativeFrom="column">
                  <wp:posOffset>-58420</wp:posOffset>
                </wp:positionH>
                <wp:positionV relativeFrom="paragraph">
                  <wp:posOffset>193040</wp:posOffset>
                </wp:positionV>
                <wp:extent cx="0" cy="4622165"/>
                <wp:effectExtent l="12065" t="13335" r="6985" b="1270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221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D705FE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" o:spid="_x0000_s1026" type="#_x0000_t32" style="position:absolute;margin-left:-4.6pt;margin-top:15.2pt;width:0;height:363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"/>
            </w:pict>
          </mc:Fallback>
        </mc:AlternateContent>
      </w:r>
      <w:r w:rsidRPr="00FE29DA"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72B9FE" wp14:editId="2C2FB8CD">
                <wp:simplePos x="0" y="0"/>
                <wp:positionH relativeFrom="column">
                  <wp:posOffset>-58420</wp:posOffset>
                </wp:positionH>
                <wp:positionV relativeFrom="paragraph">
                  <wp:posOffset>193040</wp:posOffset>
                </wp:positionV>
                <wp:extent cx="6530340" cy="21590"/>
                <wp:effectExtent l="12065" t="13335" r="10795" b="1270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530340" cy="215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FDAD3A" id="Прямая со стрелкой 4" o:spid="_x0000_s1026" type="#_x0000_t32" style="position:absolute;margin-left:-4.6pt;margin-top:15.2pt;width:514.2pt;height:1.7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"/>
            </w:pict>
          </mc:Fallback>
        </mc:AlternateContent>
      </w:r>
      <w:r w:rsidRPr="00FE29DA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Таблица XXXVI.10</w:t>
      </w:r>
    </w:p>
    <w:p w14:paraId="359109BD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tbl>
      <w:tblPr>
        <w:tblW w:w="990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600"/>
        <w:gridCol w:w="6300"/>
      </w:tblGrid>
      <w:tr w:rsidR="00FE29DA" w:rsidRPr="00FE29DA" w14:paraId="3429957E" w14:textId="77777777" w:rsidTr="000566EB">
        <w:trPr>
          <w:trHeight w:hRule="exact" w:val="499"/>
        </w:trPr>
        <w:tc>
          <w:tcPr>
            <w:tcW w:w="3600" w:type="dxa"/>
            <w:shd w:val="clear" w:color="auto" w:fill="FFFFFF"/>
            <w:vAlign w:val="center"/>
          </w:tcPr>
          <w:p w14:paraId="182F5EEB" w14:textId="28D60E88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1561466" wp14:editId="1DF05ABF">
                      <wp:simplePos x="0" y="0"/>
                      <wp:positionH relativeFrom="column">
                        <wp:posOffset>2207895</wp:posOffset>
                      </wp:positionH>
                      <wp:positionV relativeFrom="paragraph">
                        <wp:posOffset>2540</wp:posOffset>
                      </wp:positionV>
                      <wp:extent cx="21590" cy="4604385"/>
                      <wp:effectExtent l="8255" t="12065" r="8255" b="12700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1590" cy="46043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492AC1" id="Прямая со стрелкой 3" o:spid="_x0000_s1026" type="#_x0000_t32" style="position:absolute;margin-left:173.85pt;margin-top:.2pt;width:1.7pt;height:362.5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"/>
                  </w:pict>
                </mc:Fallback>
              </mc:AlternateContent>
            </w:r>
            <w:r w:rsidRPr="00FE29DA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E595FB3" wp14:editId="2B63D1A1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274320</wp:posOffset>
                      </wp:positionV>
                      <wp:extent cx="6530340" cy="0"/>
                      <wp:effectExtent l="12065" t="7620" r="10795" b="11430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5303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B6A8E3" id="Прямая со стрелкой 2" o:spid="_x0000_s1026" type="#_x0000_t32" style="position:absolute;margin-left:-6.6pt;margin-top:21.6pt;width:514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"/>
                  </w:pict>
                </mc:Fallback>
              </mc:AlternateContent>
            </w:r>
            <w:r w:rsidRPr="00FE29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Площади</w:t>
            </w:r>
          </w:p>
        </w:tc>
        <w:tc>
          <w:tcPr>
            <w:tcW w:w="6300" w:type="dxa"/>
            <w:shd w:val="clear" w:color="auto" w:fill="FFFFFF"/>
            <w:vAlign w:val="center"/>
          </w:tcPr>
          <w:p w14:paraId="6C592D3E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Назначение площади</w:t>
            </w:r>
          </w:p>
        </w:tc>
      </w:tr>
      <w:tr w:rsidR="00FE29DA" w:rsidRPr="00FE29DA" w14:paraId="08D7A19A" w14:textId="77777777" w:rsidTr="000566EB">
        <w:trPr>
          <w:trHeight w:hRule="exact" w:val="539"/>
        </w:trPr>
        <w:tc>
          <w:tcPr>
            <w:tcW w:w="3600" w:type="dxa"/>
            <w:shd w:val="clear" w:color="auto" w:fill="FFFFFF"/>
          </w:tcPr>
          <w:p w14:paraId="3A58C0E4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Главные</w:t>
            </w:r>
          </w:p>
        </w:tc>
        <w:tc>
          <w:tcPr>
            <w:tcW w:w="6300" w:type="dxa"/>
            <w:shd w:val="clear" w:color="auto" w:fill="FFFFFF"/>
          </w:tcPr>
          <w:p w14:paraId="79ECB48E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Для пешеходных подходов к общественным зданиям и для проведения демонстраций, парадов и народных празднеств</w:t>
            </w:r>
          </w:p>
        </w:tc>
      </w:tr>
      <w:tr w:rsidR="00FE29DA" w:rsidRPr="00FE29DA" w14:paraId="3DD334DC" w14:textId="77777777" w:rsidTr="000566EB">
        <w:trPr>
          <w:trHeight w:hRule="exact" w:val="1446"/>
        </w:trPr>
        <w:tc>
          <w:tcPr>
            <w:tcW w:w="3600" w:type="dxa"/>
            <w:shd w:val="clear" w:color="auto" w:fill="FFFFFF"/>
          </w:tcPr>
          <w:p w14:paraId="535F47B8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Перед крупными общественными зданиями и сооружениями, стадионами, театрами, выставками, торговыми центрами и другими местами массового посещения</w:t>
            </w:r>
          </w:p>
        </w:tc>
        <w:tc>
          <w:tcPr>
            <w:tcW w:w="6300" w:type="dxa"/>
            <w:shd w:val="clear" w:color="auto" w:fill="FFFFFF"/>
          </w:tcPr>
          <w:p w14:paraId="094F2F38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Для подъезда пассажирского транспорта и подхода посетителей к общественным зданиям и сооружениям, для размещения остановочных пунктов транспорта и площадок для стоянки автомобилей</w:t>
            </w:r>
          </w:p>
        </w:tc>
      </w:tr>
      <w:tr w:rsidR="00FE29DA" w:rsidRPr="00FE29DA" w14:paraId="61C91CDF" w14:textId="77777777" w:rsidTr="000566EB">
        <w:trPr>
          <w:trHeight w:hRule="exact" w:val="1070"/>
        </w:trPr>
        <w:tc>
          <w:tcPr>
            <w:tcW w:w="3600" w:type="dxa"/>
            <w:shd w:val="clear" w:color="auto" w:fill="FFFFFF"/>
          </w:tcPr>
          <w:p w14:paraId="6A9FBAA1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Транспортные и предмостные</w:t>
            </w:r>
          </w:p>
        </w:tc>
        <w:tc>
          <w:tcPr>
            <w:tcW w:w="6300" w:type="dxa"/>
            <w:shd w:val="clear" w:color="auto" w:fill="FFFFFF"/>
          </w:tcPr>
          <w:p w14:paraId="0CC7A31C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Для распределения транспортных потоков по примыкающим улицам и дорогам, для размещения пересечений и примыканий улиц и дорог как в одном, так и в разных уровнях</w:t>
            </w:r>
          </w:p>
        </w:tc>
      </w:tr>
      <w:tr w:rsidR="00FE29DA" w:rsidRPr="00FE29DA" w14:paraId="4C336B73" w14:textId="77777777" w:rsidTr="000566EB">
        <w:trPr>
          <w:trHeight w:hRule="exact" w:val="1086"/>
        </w:trPr>
        <w:tc>
          <w:tcPr>
            <w:tcW w:w="3600" w:type="dxa"/>
            <w:shd w:val="clear" w:color="auto" w:fill="FFFFFF"/>
          </w:tcPr>
          <w:p w14:paraId="7B657D96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Вокзальные</w:t>
            </w:r>
          </w:p>
        </w:tc>
        <w:tc>
          <w:tcPr>
            <w:tcW w:w="6300" w:type="dxa"/>
            <w:shd w:val="clear" w:color="auto" w:fill="FFFFFF"/>
          </w:tcPr>
          <w:p w14:paraId="7F8FD6E1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Для подъезда к зданиям и сооружениям внешнего транспорта, для развязки движения транспорта и пешеходов в одном и разных уровнях, для размещения остановочных пунктов транспорта и площадок для стоянки автомобилей</w:t>
            </w:r>
          </w:p>
        </w:tc>
      </w:tr>
      <w:tr w:rsidR="00FE29DA" w:rsidRPr="00FE29DA" w14:paraId="29805EF6" w14:textId="77777777" w:rsidTr="000566EB">
        <w:trPr>
          <w:trHeight w:hRule="exact" w:val="1078"/>
        </w:trPr>
        <w:tc>
          <w:tcPr>
            <w:tcW w:w="3600" w:type="dxa"/>
            <w:shd w:val="clear" w:color="auto" w:fill="FFFFFF"/>
          </w:tcPr>
          <w:p w14:paraId="6BAE0267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Многофункциональных транспортных узлов</w:t>
            </w:r>
          </w:p>
        </w:tc>
        <w:tc>
          <w:tcPr>
            <w:tcW w:w="6300" w:type="dxa"/>
            <w:shd w:val="clear" w:color="auto" w:fill="FFFFFF"/>
          </w:tcPr>
          <w:p w14:paraId="0D9F0B47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Для размещения общественных зданий и сооружений пригородного и городского транспорта, подъездов и подходов к ним и для устройства пересадки пассажиров с одних видов транспорта на другие</w:t>
            </w:r>
          </w:p>
        </w:tc>
      </w:tr>
      <w:tr w:rsidR="00FE29DA" w:rsidRPr="00FE29DA" w14:paraId="3E882A78" w14:textId="77777777" w:rsidTr="000566EB">
        <w:trPr>
          <w:trHeight w:hRule="exact" w:val="885"/>
        </w:trPr>
        <w:tc>
          <w:tcPr>
            <w:tcW w:w="3600" w:type="dxa"/>
            <w:shd w:val="clear" w:color="auto" w:fill="FFFFFF"/>
          </w:tcPr>
          <w:p w14:paraId="3CC7D7BD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Предзаводские</w:t>
            </w:r>
          </w:p>
        </w:tc>
        <w:tc>
          <w:tcPr>
            <w:tcW w:w="6300" w:type="dxa"/>
            <w:shd w:val="clear" w:color="auto" w:fill="FFFFFF"/>
          </w:tcPr>
          <w:p w14:paraId="59AC355E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Для подходов к проходным предприятий, для развязки движения и размещения остановочных пунктов транспорта и площадок для стоянки автомобилей</w:t>
            </w:r>
          </w:p>
        </w:tc>
      </w:tr>
      <w:tr w:rsidR="00FE29DA" w:rsidRPr="00FE29DA" w14:paraId="12B396E7" w14:textId="77777777" w:rsidTr="000566EB">
        <w:trPr>
          <w:trHeight w:hRule="exact" w:val="662"/>
        </w:trPr>
        <w:tc>
          <w:tcPr>
            <w:tcW w:w="3600" w:type="dxa"/>
            <w:shd w:val="clear" w:color="auto" w:fill="FFFFFF"/>
          </w:tcPr>
          <w:p w14:paraId="08D216D6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Колхозных рынков</w:t>
            </w:r>
          </w:p>
        </w:tc>
        <w:tc>
          <w:tcPr>
            <w:tcW w:w="6300" w:type="dxa"/>
            <w:shd w:val="clear" w:color="auto" w:fill="FFFFFF"/>
          </w:tcPr>
          <w:p w14:paraId="7EC2D007" w14:textId="77777777" w:rsidR="00FE29DA" w:rsidRPr="00FE29DA" w:rsidRDefault="00FE29DA" w:rsidP="00FE2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E29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Для организации движения, размещения остановочных пунктов транспорта и площадок для стоянки автомобилей</w:t>
            </w:r>
          </w:p>
        </w:tc>
      </w:tr>
    </w:tbl>
    <w:p w14:paraId="0EB0E739" w14:textId="2E7C360A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B93D47" wp14:editId="21114476">
                <wp:simplePos x="0" y="0"/>
                <wp:positionH relativeFrom="column">
                  <wp:posOffset>-58420</wp:posOffset>
                </wp:positionH>
                <wp:positionV relativeFrom="paragraph">
                  <wp:posOffset>-2540</wp:posOffset>
                </wp:positionV>
                <wp:extent cx="6530340" cy="0"/>
                <wp:effectExtent l="12065" t="10160" r="10795" b="889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303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CDD447" id="Прямая со стрелкой 1" o:spid="_x0000_s1026" type="#_x0000_t32" style="position:absolute;margin-left:-4.6pt;margin-top:-.2pt;width:514.2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"/>
            </w:pict>
          </mc:Fallback>
        </mc:AlternateContent>
      </w:r>
    </w:p>
    <w:p w14:paraId="33A33E3D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связи с развитием автомобильного движения и увеличением числа автомобилей личного пользования возникла настоятельная необходимость устройства автомобильных стоянок на площадях у вокзалов, стадионов, театров и т. п. Автомобильные стоянки должны быть изолированы от транзитного движения, а въезд и выезд сделаны раздельными. Площадь автомобильной стоянки рассчитывают, исходя из числа ожидаемых автомобилей на стоянке и площади места, занимаемого одним автомобилем. Принимают, что легковой автомобиль при однорядной установке занимает 20 м</w:t>
      </w:r>
      <w:r w:rsidRPr="00FE29D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при многорядной – 25 м</w:t>
      </w:r>
      <w:r w:rsidRPr="00FE29D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автобус – при однорядной установке – 32 м</w:t>
      </w:r>
      <w:r w:rsidRPr="00FE29D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при </w:t>
      </w: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многорядной – 40 м</w:t>
      </w:r>
      <w:r w:rsidRPr="00FE29DA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Предстоящее в ближайшие годы резкое увеличение количества легковых автомобилей потребует оборудования внеуличных подземных или многоэтажных стоянок.</w:t>
      </w:r>
    </w:p>
    <w:p w14:paraId="18977D69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 площадях, образующихся при соединении нескольких улиц или на подъездах к мосту, стоянки транспорта не предусматриваются, так как назначение площади ограничивается распределением движения транспортных потоков, вливающихся с примыкающих улиц. Наиболее рациональная организация движения на таких площадях достигается устройством в центре направляющего островка в форме круга (рис. XXXVI.12) или другой правильной фигуры. Размер круга назначают возможно большим в зависимости от размера площади. Однако при этом ширина проезда должна быть достаточной для заданной интенсивности движения на вливающихся улицах. Чем больше улиц примыкает к площади, тем больше должны быть ширина проезда и диаметр круга.</w:t>
      </w:r>
    </w:p>
    <w:p w14:paraId="06B2D10E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50ACA80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5F9DC75A" wp14:editId="42F5AF9F">
            <wp:extent cx="2409825" cy="3270250"/>
            <wp:effectExtent l="19050" t="0" r="952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0800" t="17004" r="31534" b="380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327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E29D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665F3E20" wp14:editId="6EDF49E2">
            <wp:extent cx="2797175" cy="2205355"/>
            <wp:effectExtent l="1905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0301" t="61232" r="31427" b="115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175" cy="2205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E29D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07225166" wp14:editId="4A9977EB">
            <wp:extent cx="2011680" cy="2205355"/>
            <wp:effectExtent l="19050" t="0" r="762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1027" t="45915" r="31427" b="183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2205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073DC1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62D90A39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ahoma" w:eastAsia="Times New Roman" w:hAnsi="Tahoma" w:cs="Times New Roman"/>
          <w:color w:val="000000"/>
          <w:spacing w:val="4"/>
          <w:sz w:val="13"/>
          <w:szCs w:val="20"/>
          <w:lang w:val="ru-RU" w:eastAsia="ru-RU"/>
        </w:rPr>
      </w:pPr>
      <w:r w:rsidRPr="00FE29DA">
        <w:rPr>
          <w:rFonts w:ascii="Tahoma" w:eastAsia="Times New Roman" w:hAnsi="Tahoma" w:cs="Times New Roman"/>
          <w:noProof/>
          <w:color w:val="000000"/>
          <w:spacing w:val="4"/>
          <w:sz w:val="13"/>
          <w:szCs w:val="20"/>
          <w:lang w:val="ru-RU" w:eastAsia="ru-RU"/>
        </w:rPr>
        <w:lastRenderedPageBreak/>
        <w:drawing>
          <wp:inline distT="0" distB="0" distL="0" distR="0" wp14:anchorId="7C9A3F3F" wp14:editId="44793BAA">
            <wp:extent cx="4572000" cy="1807210"/>
            <wp:effectExtent l="19050" t="0" r="0" b="0"/>
            <wp:docPr id="24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0002" t="18011" r="29359" b="521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80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6A293D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t>Рис. ХХХVI 13. Схема движения на пересечение двух улиц:</w:t>
      </w:r>
    </w:p>
    <w:p w14:paraId="72BCDEA7" w14:textId="77777777" w:rsidR="00FE29DA" w:rsidRPr="00FE29DA" w:rsidRDefault="00FE29DA" w:rsidP="00FE29DA">
      <w:pPr>
        <w:widowControl w:val="0"/>
        <w:tabs>
          <w:tab w:val="left" w:pos="1080"/>
          <w:tab w:val="left" w:pos="1359"/>
        </w:tabs>
        <w:autoSpaceDE w:val="0"/>
        <w:autoSpaceDN w:val="0"/>
        <w:adjustRightInd w:val="0"/>
        <w:spacing w:before="36" w:after="0" w:line="201" w:lineRule="auto"/>
        <w:ind w:left="648" w:right="72" w:firstLine="216"/>
        <w:jc w:val="center"/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 w:eastAsia="ru-RU"/>
        </w:rPr>
        <w:t xml:space="preserve">а - в одном уровне, б - в разных уровнях с устройством тоннеля; </w:t>
      </w:r>
      <w:r w:rsidRPr="00FE29DA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 w:eastAsia="ru-RU"/>
        </w:rPr>
        <w:br/>
      </w:r>
      <w:r w:rsidRPr="00FE29DA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 w:eastAsia="ru-RU"/>
        </w:rPr>
        <w:t xml:space="preserve">I – магистраль;II – </w:t>
      </w:r>
      <w:r w:rsidRPr="00FE29DA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  <w:t xml:space="preserve">улица, III - рампа; </w:t>
      </w:r>
      <w:r w:rsidRPr="00FE29DA">
        <w:rPr>
          <w:rFonts w:ascii="Times New Roman" w:eastAsia="Times New Roman" w:hAnsi="Times New Roman" w:cs="Times New Roman"/>
          <w:i/>
          <w:color w:val="000000"/>
          <w:spacing w:val="15"/>
          <w:sz w:val="28"/>
          <w:szCs w:val="28"/>
          <w:lang w:val="ru-RU" w:eastAsia="ru-RU"/>
        </w:rPr>
        <w:t xml:space="preserve">IV - </w:t>
      </w:r>
      <w:r w:rsidRPr="00FE29DA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 w:eastAsia="ru-RU"/>
        </w:rPr>
        <w:t>тоннель; 1-4 - транзитное движение: 5,7,</w:t>
      </w:r>
      <w:r w:rsidRPr="00FE29DA">
        <w:rPr>
          <w:rFonts w:ascii="Times New Roman" w:eastAsia="Times New Roman" w:hAnsi="Times New Roman" w:cs="Times New Roman"/>
          <w:i/>
          <w:color w:val="000000"/>
          <w:spacing w:val="10"/>
          <w:sz w:val="28"/>
          <w:szCs w:val="28"/>
          <w:lang w:val="ru-RU" w:eastAsia="ru-RU"/>
        </w:rPr>
        <w:t xml:space="preserve">9, 11- </w:t>
      </w:r>
      <w:r w:rsidRPr="00FE29DA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 w:eastAsia="ru-RU"/>
        </w:rPr>
        <w:t>правые повороты, 6</w:t>
      </w:r>
      <w:r w:rsidRPr="00FE29DA">
        <w:rPr>
          <w:rFonts w:ascii="Times New Roman" w:eastAsia="Times New Roman" w:hAnsi="Times New Roman" w:cs="Times New Roman"/>
          <w:i/>
          <w:color w:val="000000"/>
          <w:spacing w:val="10"/>
          <w:sz w:val="28"/>
          <w:szCs w:val="28"/>
          <w:lang w:val="ru-RU" w:eastAsia="ru-RU"/>
        </w:rPr>
        <w:t xml:space="preserve">, 8, 10, 12 </w:t>
      </w:r>
      <w:r w:rsidRPr="00FE29DA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 w:eastAsia="ru-RU"/>
        </w:rPr>
        <w:t>- левые повороты</w:t>
      </w:r>
    </w:p>
    <w:p w14:paraId="52B6902C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40C5CA37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7EEB7ED6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Если форма площади не позволяет устроить центральный островок, организацию движения решают при помощи нескольких направляющих островков в виде разделительных полос или треугольников о обязательным регулированием движения.</w:t>
      </w:r>
    </w:p>
    <w:p w14:paraId="2B6DD64C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большом движении транспорта и пешеходов пересечения на транзитных магистралях делают в разных уровнях, устраивая тоннели или эстакады.</w:t>
      </w:r>
    </w:p>
    <w:p w14:paraId="2FC2F382" w14:textId="77777777" w:rsidR="00FE29DA" w:rsidRPr="00FE29DA" w:rsidRDefault="00FE29DA" w:rsidP="00FE29D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29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Тоннель строят в центральной части улицы с таким расчетом, чтобы транспорт мог поворачивать направо (рис XXXV1.13). Для пешеходов также могут быть устроены специальные тоннели при большой ширине улиц и интенсивном движении транспорта.</w:t>
      </w:r>
    </w:p>
    <w:p w14:paraId="75C9A43E" w14:textId="77777777" w:rsidR="00FE29DA" w:rsidRPr="00FE29DA" w:rsidRDefault="00FE29DA">
      <w:pPr>
        <w:rPr>
          <w:lang w:val="ru-RU"/>
        </w:rPr>
      </w:pPr>
    </w:p>
    <w:sectPr w:rsidR="00FE29DA" w:rsidRPr="00FE29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279"/>
    <w:rsid w:val="00447279"/>
    <w:rsid w:val="008F0020"/>
    <w:rsid w:val="00906AA9"/>
    <w:rsid w:val="00DB719E"/>
    <w:rsid w:val="00FE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52790"/>
  <w15:chartTrackingRefBased/>
  <w15:docId w15:val="{1F175C38-08B1-4BC9-8FFA-3850D8D6B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984</Words>
  <Characters>5614</Characters>
  <Application>Microsoft Office Word</Application>
  <DocSecurity>0</DocSecurity>
  <Lines>46</Lines>
  <Paragraphs>13</Paragraphs>
  <ScaleCrop>false</ScaleCrop>
  <Company/>
  <LinksUpToDate>false</LinksUpToDate>
  <CharactersWithSpaces>6585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2020-08-18T19:46:00Z</dcterms:created>
  <dcterms:modified xsi:type="dcterms:W3CDTF">2022-12-13T10:30:00Z</dcterms:modified>
</cp:coreProperties>
</file>